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2070841" cy="441113"/>
            <wp:effectExtent b="0" l="0" r="0" t="0"/>
            <wp:docPr descr="C:\Users\MEHERNANDEZ\Desktop\CAF Logo Color Horizontal.png" id="2" name="image4.png"/>
            <a:graphic>
              <a:graphicData uri="http://schemas.openxmlformats.org/drawingml/2006/picture">
                <pic:pic>
                  <pic:nvPicPr>
                    <pic:cNvPr descr="C:\Users\MEHERNANDEZ\Desktop\CAF Logo Color Horizontal.png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841" cy="44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2"/>
          <w:szCs w:val="32"/>
          <w:rtl w:val="0"/>
        </w:rPr>
        <w:t xml:space="preserve">Hasta el 31 de octubre se pueden postular evaluaciones de impacto para mejorar los procesos y las políticas de las instituciones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Perú, Argentina y Colombia lideran las propuestas provenientes de 13 países en diversas áreas entre las que sobresalen educación, salud, inclusión social, infraestructura, transporte y energía. Para postularse, solo se debe tener una pregunta de evaluación muy clara relacionada a la efectividad de alguna política o proceso que la institución esté implementando.  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808080"/>
          <w:rtl w:val="0"/>
        </w:rPr>
        <w:t xml:space="preserve">(Ciudad de México, 03 de octubre de 2018)- 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 el propósito de identificar oportunidades de aprendizaje en el sector público latinoamericano, para apoyarlas con el equipo de expertos CAF –banco de desarrollo de América Latina, diseñando e implementando evaluaciones de impacto, estará abierta hasta el 31 de octubre la segunda fase de la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II Convocatoria internacional CAF de evaluaciones de impacto para una mejor gestión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Para postularse, solo se debe tener una pregunta de evaluación muy clara relacionada a la efectividad de alguna política o proceso que la institución esté implementando. Si la actividad que se quiere evaluar afecta a un número grande de unidades, que pueden ser personas, familias, empresas, segmentos de calle, etc., es muy probable que la evaluación sea técnicamente factible.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“Son bienvenidas tanto las iniciativas de políticas públicas como las de gestión de las instituciones. Esta última está más enfocada en los procesos y actividades que la institución implementa para fortalecer sus políticas. Este tipo de evaluaciones, tienen un potencial enorme para generar conocimiento que es directamente útil y aprovechable para las instituciones involucradas, además de que suele ser menos costosa en recursos y en tiempo”, explicó Daniel Ortega, director de Evaluación de Impacto y Aprendizaje de Políticas de CAF.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Entre las iniciativas que se presenten, se seleccionarán 10 propuestas que recibirán apoyo técnico, logístico y financiero para el diseño e implementación de evaluaciones de impacto de la más alta rigurosidad científica. Se podrán seleccionar hasta 6 propuestas adicionales, cuyo apoyo técnico será subsidiado parcialmente.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primera fase de esta convocatoria recibió cerca de 100 postulaciones provenientes de 13 países de la región, lideradas por funcionarios de instituciones de Perú (23%), Argentina (17%) y Colombia (14%). La mitad de las propuestas de políticas estuvieron en las áreas de educación, salud e inclusión social. También se destacaron las áreas de infraestructura, transporte y energía, con alrededor de 10% entre ellas.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evaluación de impacto es una oportunidad de aprendizaje que CAF quiere apoyar a través de su equipo de expertos, con el objetivo de fortalecer las capacidades del sector público para ofrecer bienes y servicios de calidad.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 Narrow" w:cs="Arial Narrow" w:eastAsia="Arial Narrow" w:hAnsi="Arial Narrow"/>
        </w:rPr>
      </w:pP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Ingrese aquí para llenar el formulario de postulación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y encuentre en estos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videos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sencillos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pasos para completar el proceso.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11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both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hyperlink r:id="rId13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both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Facebook: </w:t>
      </w:r>
      <w:hyperlink r:id="rId14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Twitter: </w:t>
      </w:r>
      <w:hyperlink r:id="rId15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af.com/" TargetMode="External"/><Relationship Id="rId10" Type="http://schemas.openxmlformats.org/officeDocument/2006/relationships/hyperlink" Target="https://youtu.be/hh_P_lZxpxw" TargetMode="External"/><Relationship Id="rId13" Type="http://schemas.openxmlformats.org/officeDocument/2006/relationships/hyperlink" Target="mailto:prensa@caf.com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bUFewNzJlmg" TargetMode="External"/><Relationship Id="rId15" Type="http://schemas.openxmlformats.org/officeDocument/2006/relationships/hyperlink" Target="https://twitter.com/AgendaCAF?lang=es" TargetMode="External"/><Relationship Id="rId14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www.caf.com/es/actualidad/convocatorias/2018/09/ii-convocatoria-internacional-evaluaciones-de-impacto-para-una-mejor-gestion/" TargetMode="External"/><Relationship Id="rId8" Type="http://schemas.openxmlformats.org/officeDocument/2006/relationships/hyperlink" Target="https://www.caf.com/es/actualidad/convocatorias/2018/09/ii-convocatoria-internacional-evaluaciones-de-impacto-para-una-mejor-gest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